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2B8C" w14:textId="6352DBD5" w:rsidR="00EF6A53" w:rsidRPr="008C08F8" w:rsidRDefault="008C08F8">
      <w:pPr>
        <w:rPr>
          <w:lang w:val="es-DO"/>
        </w:rPr>
      </w:pPr>
      <w:r w:rsidRPr="008C08F8">
        <w:rPr>
          <w:b/>
          <w:bCs/>
          <w:lang w:val="es-DO"/>
        </w:rPr>
        <w:t>Junio: No hay proceso de consulta abierta junio 2022</w:t>
      </w:r>
    </w:p>
    <w:sectPr w:rsidR="00EF6A53" w:rsidRPr="008C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F8"/>
    <w:rsid w:val="008C08F8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D152"/>
  <w15:chartTrackingRefBased/>
  <w15:docId w15:val="{F67237E0-D94A-4D8F-98AD-86936EA2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2022-09-05T15:39:00Z</dcterms:created>
  <dcterms:modified xsi:type="dcterms:W3CDTF">2022-09-05T15:42:00Z</dcterms:modified>
</cp:coreProperties>
</file>